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B791C">
      <w:pPr>
        <w:spacing w:after="0" w:line="480" w:lineRule="exact"/>
        <w:ind w:firstLine="562" w:firstLineChars="200"/>
        <w:jc w:val="cente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lang w:eastAsia="zh-CN"/>
          <w14:textFill>
            <w14:solidFill>
              <w14:schemeClr w14:val="tx1"/>
            </w14:solidFill>
          </w14:textFill>
        </w:rPr>
        <w:t>醴陵市丰裕瓷厂年产600万件日用陶瓷建设项目</w:t>
      </w:r>
      <w:r>
        <w:rPr>
          <w:rFonts w:ascii="Times New Roman" w:hAnsi="Times New Roman" w:eastAsia="宋体" w:cs="Times New Roman"/>
          <w:b/>
          <w:color w:val="000000" w:themeColor="text1"/>
          <w:sz w:val="28"/>
          <w:szCs w:val="28"/>
          <w14:textFill>
            <w14:solidFill>
              <w14:schemeClr w14:val="tx1"/>
            </w14:solidFill>
          </w14:textFill>
        </w:rPr>
        <w:t>竣工环境保护验收</w:t>
      </w:r>
      <w:r>
        <w:rPr>
          <w:rFonts w:hint="eastAsia" w:ascii="Times New Roman" w:hAnsi="Times New Roman" w:eastAsia="宋体" w:cs="Times New Roman"/>
          <w:b/>
          <w:color w:val="000000" w:themeColor="text1"/>
          <w:sz w:val="28"/>
          <w:szCs w:val="28"/>
          <w14:textFill>
            <w14:solidFill>
              <w14:schemeClr w14:val="tx1"/>
            </w14:solidFill>
          </w14:textFill>
        </w:rPr>
        <w:t>意见</w:t>
      </w:r>
    </w:p>
    <w:p w14:paraId="1D153A43">
      <w:pPr>
        <w:spacing w:after="0" w:line="480" w:lineRule="exact"/>
        <w:ind w:firstLine="562" w:firstLineChars="200"/>
        <w:jc w:val="center"/>
        <w:rPr>
          <w:rFonts w:hint="eastAsia" w:ascii="Times New Roman" w:hAnsi="Times New Roman" w:eastAsia="宋体" w:cs="Times New Roman"/>
          <w:b/>
          <w:color w:val="000000" w:themeColor="text1"/>
          <w:sz w:val="28"/>
          <w:szCs w:val="28"/>
          <w14:textFill>
            <w14:solidFill>
              <w14:schemeClr w14:val="tx1"/>
            </w14:solidFill>
          </w14:textFill>
        </w:rPr>
      </w:pPr>
    </w:p>
    <w:p w14:paraId="3F05CF1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2026年5月5日，醴陵市丰裕瓷厂组织召开了“醴陵市丰裕瓷厂年产600万件日用陶瓷建设项目”竣工环境保护验收会，会议成立竣工环保验收工作组（名单附后），工作组根据《醴陵市丰裕瓷厂年产600万件日用陶瓷建设项目竣工环境保护验收监测报告》并对照《建设项目竣工环境保护验收暂行管理办法》，严格按照国家相关法律法规、建设项目竣工环境保护验收技术指南、本项目环境影响报告书和审批部门审批决定等要求对本项目进行竣工环境保护验收，提出以下意见：</w:t>
      </w:r>
    </w:p>
    <w:p w14:paraId="68DA4C9B">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一、项目建设基本情况</w:t>
      </w:r>
    </w:p>
    <w:p w14:paraId="1CF17F31">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eastAsia="宋体" w:cs="Times New Roman"/>
          <w:b/>
          <w:bCs w:val="0"/>
          <w:color w:val="000000" w:themeColor="text1"/>
          <w:sz w:val="24"/>
          <w:szCs w:val="24"/>
          <w14:textFill>
            <w14:solidFill>
              <w14:schemeClr w14:val="tx1"/>
            </w14:solidFill>
          </w14:textFill>
        </w:rPr>
      </w:pPr>
      <w:r>
        <w:rPr>
          <w:rFonts w:hint="eastAsia" w:ascii="Times New Roman" w:hAnsi="Times New Roman" w:eastAsia="宋体" w:cs="Times New Roman"/>
          <w:b/>
          <w:bCs w:val="0"/>
          <w:color w:val="000000" w:themeColor="text1"/>
          <w:sz w:val="24"/>
          <w:szCs w:val="24"/>
          <w14:textFill>
            <w14:solidFill>
              <w14:schemeClr w14:val="tx1"/>
            </w14:solidFill>
          </w14:textFill>
        </w:rPr>
        <w:t>1、建设地点、规模、主要建设内容</w:t>
      </w:r>
    </w:p>
    <w:p w14:paraId="5F99D465">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本次验收项目建设地点为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湖南株洲市醴陵市醴陵市王仙镇王仙村</w:t>
      </w:r>
      <w:r>
        <w:rPr>
          <w:rFonts w:hint="eastAsia" w:ascii="Times New Roman" w:hAnsi="Times New Roman" w:eastAsia="宋体" w:cs="Times New Roman"/>
          <w:bCs/>
          <w:color w:val="000000" w:themeColor="text1"/>
          <w:sz w:val="24"/>
          <w:szCs w:val="24"/>
          <w14:textFill>
            <w14:solidFill>
              <w14:schemeClr w14:val="tx1"/>
            </w14:solidFill>
          </w14:textFill>
        </w:rPr>
        <w:t>，主要建设内容见表1。</w:t>
      </w:r>
    </w:p>
    <w:p w14:paraId="18E1FC82">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表1 项目主要建设内容一览表</w:t>
      </w:r>
    </w:p>
    <w:tbl>
      <w:tblPr>
        <w:tblStyle w:val="18"/>
        <w:tblW w:w="907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374"/>
        <w:gridCol w:w="1401"/>
        <w:gridCol w:w="3501"/>
        <w:gridCol w:w="1792"/>
      </w:tblGrid>
      <w:tr w14:paraId="2FB89B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tcBorders>
              <w:tl2br w:val="nil"/>
              <w:tr2bl w:val="nil"/>
            </w:tcBorders>
            <w:vAlign w:val="center"/>
          </w:tcPr>
          <w:p w14:paraId="0426CA1D">
            <w:pPr>
              <w:pStyle w:val="37"/>
              <w:spacing w:after="0"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工程类型</w:t>
            </w:r>
          </w:p>
        </w:tc>
        <w:tc>
          <w:tcPr>
            <w:tcW w:w="1374" w:type="dxa"/>
            <w:tcBorders>
              <w:tl2br w:val="nil"/>
              <w:tr2bl w:val="nil"/>
            </w:tcBorders>
            <w:vAlign w:val="center"/>
          </w:tcPr>
          <w:p w14:paraId="5CC454C5">
            <w:pPr>
              <w:pStyle w:val="37"/>
              <w:spacing w:after="0"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工程名称</w:t>
            </w:r>
          </w:p>
        </w:tc>
        <w:tc>
          <w:tcPr>
            <w:tcW w:w="4902" w:type="dxa"/>
            <w:gridSpan w:val="2"/>
            <w:tcBorders>
              <w:tl2br w:val="nil"/>
              <w:tr2bl w:val="nil"/>
            </w:tcBorders>
            <w:vAlign w:val="center"/>
          </w:tcPr>
          <w:p w14:paraId="4DADADDB">
            <w:pPr>
              <w:pStyle w:val="37"/>
              <w:spacing w:after="0"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环评规划建设内容</w:t>
            </w:r>
          </w:p>
        </w:tc>
        <w:tc>
          <w:tcPr>
            <w:tcW w:w="1792" w:type="dxa"/>
            <w:tcBorders>
              <w:tl2br w:val="nil"/>
              <w:tr2bl w:val="nil"/>
            </w:tcBorders>
            <w:vAlign w:val="center"/>
          </w:tcPr>
          <w:p w14:paraId="29CD99FD">
            <w:pPr>
              <w:pStyle w:val="37"/>
              <w:spacing w:after="0"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实际建设情况</w:t>
            </w:r>
          </w:p>
        </w:tc>
      </w:tr>
      <w:tr w14:paraId="52627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restart"/>
            <w:tcBorders>
              <w:tl2br w:val="nil"/>
              <w:tr2bl w:val="nil"/>
            </w:tcBorders>
            <w:vAlign w:val="center"/>
          </w:tcPr>
          <w:p w14:paraId="6720458B">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1374" w:type="dxa"/>
            <w:tcBorders>
              <w:tl2br w:val="nil"/>
              <w:tr2bl w:val="nil"/>
            </w:tcBorders>
            <w:vAlign w:val="center"/>
          </w:tcPr>
          <w:p w14:paraId="3CF66E83">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白瓷生产车间</w:t>
            </w:r>
          </w:p>
        </w:tc>
        <w:tc>
          <w:tcPr>
            <w:tcW w:w="4902" w:type="dxa"/>
            <w:gridSpan w:val="2"/>
            <w:tcBorders>
              <w:tl2br w:val="nil"/>
              <w:tr2bl w:val="nil"/>
            </w:tcBorders>
            <w:vAlign w:val="center"/>
          </w:tcPr>
          <w:p w14:paraId="263E46F8">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IF，砖混结构，建筑面积2400m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，车间内主要有制模区、制泥区、制釉区、成型区、上釉流水线(2条)、干燥区、检瓷区及1条30m 辊道窑</w:t>
            </w:r>
          </w:p>
        </w:tc>
        <w:tc>
          <w:tcPr>
            <w:tcW w:w="1792" w:type="dxa"/>
            <w:tcBorders>
              <w:tl2br w:val="nil"/>
              <w:tr2bl w:val="nil"/>
            </w:tcBorders>
            <w:vAlign w:val="center"/>
          </w:tcPr>
          <w:p w14:paraId="4BC60854">
            <w:pPr>
              <w:pStyle w:val="37"/>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1E05C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2B8F6358">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2106BCA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烤花车间</w:t>
            </w:r>
          </w:p>
        </w:tc>
        <w:tc>
          <w:tcPr>
            <w:tcW w:w="4902" w:type="dxa"/>
            <w:gridSpan w:val="2"/>
            <w:tcBorders>
              <w:tl2br w:val="nil"/>
              <w:tr2bl w:val="nil"/>
            </w:tcBorders>
            <w:vAlign w:val="center"/>
          </w:tcPr>
          <w:p w14:paraId="736B10D4">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1F，砖混结构，建筑面积2970m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，车间内主要分为贴花车间、包装车间、仓库及1条 42m 辊道烤花窑</w:t>
            </w:r>
            <w:r>
              <w:rPr>
                <w:rFonts w:hint="eastAsia"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位于厂区西部。</w:t>
            </w:r>
          </w:p>
        </w:tc>
        <w:tc>
          <w:tcPr>
            <w:tcW w:w="1792" w:type="dxa"/>
            <w:tcBorders>
              <w:tl2br w:val="nil"/>
              <w:tr2bl w:val="nil"/>
            </w:tcBorders>
            <w:vAlign w:val="center"/>
          </w:tcPr>
          <w:p w14:paraId="3B817B4C">
            <w:pPr>
              <w:pStyle w:val="37"/>
              <w:spacing w:after="0" w:line="240" w:lineRule="auto"/>
              <w:ind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取消建设</w:t>
            </w:r>
          </w:p>
        </w:tc>
      </w:tr>
      <w:tr w14:paraId="0BDEA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restart"/>
            <w:tcBorders>
              <w:tl2br w:val="nil"/>
              <w:tr2bl w:val="nil"/>
            </w:tcBorders>
            <w:vAlign w:val="center"/>
          </w:tcPr>
          <w:p w14:paraId="2C278E73">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1374" w:type="dxa"/>
            <w:tcBorders>
              <w:tl2br w:val="nil"/>
              <w:tr2bl w:val="nil"/>
            </w:tcBorders>
            <w:vAlign w:val="center"/>
          </w:tcPr>
          <w:p w14:paraId="3F215206">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办公室</w:t>
            </w:r>
          </w:p>
        </w:tc>
        <w:tc>
          <w:tcPr>
            <w:tcW w:w="4902" w:type="dxa"/>
            <w:gridSpan w:val="2"/>
            <w:tcBorders>
              <w:tl2br w:val="nil"/>
              <w:tr2bl w:val="nil"/>
            </w:tcBorders>
            <w:vAlign w:val="center"/>
          </w:tcPr>
          <w:p w14:paraId="11223F04">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面积 20</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，位于白瓷生产车间西北部</w:t>
            </w:r>
          </w:p>
        </w:tc>
        <w:tc>
          <w:tcPr>
            <w:tcW w:w="1792" w:type="dxa"/>
            <w:tcBorders>
              <w:tl2br w:val="nil"/>
              <w:tr2bl w:val="nil"/>
            </w:tcBorders>
            <w:vAlign w:val="center"/>
          </w:tcPr>
          <w:p w14:paraId="6D8CEAF7">
            <w:pPr>
              <w:pStyle w:val="37"/>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48616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1F4C22AB">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20FFD582">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维修间</w:t>
            </w:r>
          </w:p>
        </w:tc>
        <w:tc>
          <w:tcPr>
            <w:tcW w:w="4902" w:type="dxa"/>
            <w:gridSpan w:val="2"/>
            <w:tcBorders>
              <w:tl2br w:val="nil"/>
              <w:tr2bl w:val="nil"/>
            </w:tcBorders>
            <w:vAlign w:val="center"/>
          </w:tcPr>
          <w:p w14:paraId="653872D9">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面积 20</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，位于白瓷生产车间西南部</w:t>
            </w:r>
          </w:p>
        </w:tc>
        <w:tc>
          <w:tcPr>
            <w:tcW w:w="1792" w:type="dxa"/>
            <w:tcBorders>
              <w:tl2br w:val="nil"/>
              <w:tr2bl w:val="nil"/>
            </w:tcBorders>
            <w:vAlign w:val="center"/>
          </w:tcPr>
          <w:p w14:paraId="3872D420">
            <w:pPr>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21C673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restart"/>
            <w:tcBorders>
              <w:tl2br w:val="nil"/>
              <w:tr2bl w:val="nil"/>
            </w:tcBorders>
            <w:vAlign w:val="center"/>
          </w:tcPr>
          <w:p w14:paraId="4BD5837E">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储运</w:t>
            </w: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374" w:type="dxa"/>
            <w:tcBorders>
              <w:tl2br w:val="nil"/>
              <w:tr2bl w:val="nil"/>
            </w:tcBorders>
            <w:vAlign w:val="center"/>
          </w:tcPr>
          <w:p w14:paraId="72D49C65">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原料仓库</w:t>
            </w:r>
          </w:p>
        </w:tc>
        <w:tc>
          <w:tcPr>
            <w:tcW w:w="4902" w:type="dxa"/>
            <w:gridSpan w:val="2"/>
            <w:tcBorders>
              <w:tl2br w:val="nil"/>
              <w:tr2bl w:val="nil"/>
            </w:tcBorders>
            <w:vAlign w:val="center"/>
          </w:tcPr>
          <w:p w14:paraId="07D92FF6">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1F，砖混结构，建筑面积 600</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，用于堆放泥料和釉料，位于厂区东北部</w:t>
            </w:r>
          </w:p>
        </w:tc>
        <w:tc>
          <w:tcPr>
            <w:tcW w:w="1792" w:type="dxa"/>
            <w:tcBorders>
              <w:tl2br w:val="nil"/>
              <w:tr2bl w:val="nil"/>
            </w:tcBorders>
            <w:vAlign w:val="center"/>
          </w:tcPr>
          <w:p w14:paraId="08C02A91">
            <w:pPr>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52F511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2F955DEE">
            <w:pPr>
              <w:pStyle w:val="37"/>
              <w:spacing w:after="0"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74" w:type="dxa"/>
            <w:tcBorders>
              <w:tl2br w:val="nil"/>
              <w:tr2bl w:val="nil"/>
            </w:tcBorders>
            <w:vAlign w:val="center"/>
          </w:tcPr>
          <w:p w14:paraId="3F7E97D0">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产品仓库</w:t>
            </w:r>
          </w:p>
        </w:tc>
        <w:tc>
          <w:tcPr>
            <w:tcW w:w="4902" w:type="dxa"/>
            <w:gridSpan w:val="2"/>
            <w:tcBorders>
              <w:tl2br w:val="nil"/>
              <w:tr2bl w:val="nil"/>
            </w:tcBorders>
            <w:vAlign w:val="center"/>
          </w:tcPr>
          <w:p w14:paraId="72794DD8">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面积 800</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m</w:t>
            </w:r>
            <w:r>
              <w:rPr>
                <w:rFonts w:hint="eastAsia"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，位于烤花车间内</w:t>
            </w:r>
          </w:p>
        </w:tc>
        <w:tc>
          <w:tcPr>
            <w:tcW w:w="1792" w:type="dxa"/>
            <w:tcBorders>
              <w:tl2br w:val="nil"/>
              <w:tr2bl w:val="nil"/>
            </w:tcBorders>
            <w:vAlign w:val="center"/>
          </w:tcPr>
          <w:p w14:paraId="2278C570">
            <w:pPr>
              <w:spacing w:after="0"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位于白瓷车间西侧</w:t>
            </w:r>
          </w:p>
        </w:tc>
      </w:tr>
      <w:tr w14:paraId="7E9E8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restart"/>
            <w:tcBorders>
              <w:tl2br w:val="nil"/>
              <w:tr2bl w:val="nil"/>
            </w:tcBorders>
            <w:vAlign w:val="center"/>
          </w:tcPr>
          <w:p w14:paraId="569E01EF">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1374" w:type="dxa"/>
            <w:tcBorders>
              <w:tl2br w:val="nil"/>
              <w:tr2bl w:val="nil"/>
            </w:tcBorders>
            <w:vAlign w:val="center"/>
          </w:tcPr>
          <w:p w14:paraId="145AFFAC">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供配电</w:t>
            </w:r>
          </w:p>
        </w:tc>
        <w:tc>
          <w:tcPr>
            <w:tcW w:w="4902" w:type="dxa"/>
            <w:gridSpan w:val="2"/>
            <w:tcBorders>
              <w:tl2br w:val="nil"/>
              <w:tr2bl w:val="nil"/>
            </w:tcBorders>
            <w:vAlign w:val="center"/>
          </w:tcPr>
          <w:p w14:paraId="1C087F97">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烤花车间、白瓷生产车间分别设置有配电房，供电由外部变压器接入厂区配电房，再由配电房接入各用电工序。</w:t>
            </w:r>
          </w:p>
        </w:tc>
        <w:tc>
          <w:tcPr>
            <w:tcW w:w="1792" w:type="dxa"/>
            <w:tcBorders>
              <w:tl2br w:val="nil"/>
              <w:tr2bl w:val="nil"/>
            </w:tcBorders>
            <w:vAlign w:val="center"/>
          </w:tcPr>
          <w:p w14:paraId="50D9CDE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62984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4B4B6F1F">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106D72F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给水系统</w:t>
            </w:r>
          </w:p>
        </w:tc>
        <w:tc>
          <w:tcPr>
            <w:tcW w:w="4902" w:type="dxa"/>
            <w:gridSpan w:val="2"/>
            <w:tcBorders>
              <w:tl2br w:val="nil"/>
              <w:tr2bl w:val="nil"/>
            </w:tcBorders>
            <w:vAlign w:val="center"/>
          </w:tcPr>
          <w:p w14:paraId="6ADE5D17">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使用城市自来水，用水由厂区外自来水管网接入，再输送至各用水工序。</w:t>
            </w:r>
          </w:p>
        </w:tc>
        <w:tc>
          <w:tcPr>
            <w:tcW w:w="1792" w:type="dxa"/>
            <w:tcBorders>
              <w:tl2br w:val="nil"/>
              <w:tr2bl w:val="nil"/>
            </w:tcBorders>
            <w:vAlign w:val="center"/>
          </w:tcPr>
          <w:p w14:paraId="4217CAA0">
            <w:pPr>
              <w:spacing w:after="0"/>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与环评一致</w:t>
            </w:r>
          </w:p>
        </w:tc>
      </w:tr>
      <w:tr w14:paraId="68B6E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4AC8D14D">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1E67B30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排水系统</w:t>
            </w:r>
          </w:p>
        </w:tc>
        <w:tc>
          <w:tcPr>
            <w:tcW w:w="4902" w:type="dxa"/>
            <w:gridSpan w:val="2"/>
            <w:tcBorders>
              <w:tl2br w:val="nil"/>
              <w:tr2bl w:val="nil"/>
            </w:tcBorders>
            <w:vAlign w:val="center"/>
          </w:tcPr>
          <w:p w14:paraId="592CB719">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雨污分流，污污分流。雨水由厂区雨水沟渠排出，生产废水经废水站处理站絮凝沉淀处理达标后，90%回用于生产，剩余10%排入周边污水管网，通过王仙镇集中排污口排入店香河，生活污水经地埋式一体化处理设施处理后排入东面店香河。</w:t>
            </w:r>
          </w:p>
        </w:tc>
        <w:tc>
          <w:tcPr>
            <w:tcW w:w="1792" w:type="dxa"/>
            <w:tcBorders>
              <w:tl2br w:val="nil"/>
              <w:tr2bl w:val="nil"/>
            </w:tcBorders>
            <w:vAlign w:val="center"/>
          </w:tcPr>
          <w:p w14:paraId="2CD27B05">
            <w:pPr>
              <w:spacing w:after="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雨水及生产废水处理方式与环评一致，生活污水经四格化粪池处理后外排</w:t>
            </w:r>
          </w:p>
        </w:tc>
      </w:tr>
      <w:tr w14:paraId="29FDE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304B548A">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76ADFE9F">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供气系统</w:t>
            </w:r>
          </w:p>
        </w:tc>
        <w:tc>
          <w:tcPr>
            <w:tcW w:w="4902" w:type="dxa"/>
            <w:gridSpan w:val="2"/>
            <w:tcBorders>
              <w:tl2br w:val="nil"/>
              <w:tr2bl w:val="nil"/>
            </w:tcBorders>
            <w:vAlign w:val="center"/>
          </w:tcPr>
          <w:p w14:paraId="4DDE66C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天然气由醴陵市燃气公司供应，由厂区外铺设的燃气管网接入。</w:t>
            </w:r>
          </w:p>
        </w:tc>
        <w:tc>
          <w:tcPr>
            <w:tcW w:w="1792" w:type="dxa"/>
            <w:tcBorders>
              <w:tl2br w:val="nil"/>
              <w:tr2bl w:val="nil"/>
            </w:tcBorders>
            <w:vAlign w:val="center"/>
          </w:tcPr>
          <w:p w14:paraId="2B0806F2">
            <w:pPr>
              <w:spacing w:after="0"/>
              <w:jc w:val="center"/>
              <w:rPr>
                <w:rFonts w:hint="default" w:ascii="Times New Roman" w:hAnsi="Times New Roman" w:eastAsia="宋体" w:cs="Times New Roman"/>
                <w:color w:val="auto"/>
                <w:sz w:val="21"/>
                <w:szCs w:val="21"/>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6245E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restart"/>
            <w:tcBorders>
              <w:tl2br w:val="nil"/>
              <w:tr2bl w:val="nil"/>
            </w:tcBorders>
            <w:vAlign w:val="center"/>
          </w:tcPr>
          <w:p w14:paraId="7DA50C71">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p w14:paraId="5C4BE588">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1374" w:type="dxa"/>
            <w:vMerge w:val="restart"/>
            <w:tcBorders>
              <w:tl2br w:val="nil"/>
              <w:tr2bl w:val="nil"/>
            </w:tcBorders>
            <w:vAlign w:val="center"/>
          </w:tcPr>
          <w:p w14:paraId="2EE9D8D3">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spacing w:val="8"/>
                <w:sz w:val="21"/>
                <w:szCs w:val="21"/>
                <w:u w:val="none" w:color="auto"/>
              </w:rPr>
              <w:t>废水处理措施</w:t>
            </w:r>
          </w:p>
        </w:tc>
        <w:tc>
          <w:tcPr>
            <w:tcW w:w="1401" w:type="dxa"/>
            <w:tcBorders>
              <w:tl2br w:val="nil"/>
              <w:tr2bl w:val="nil"/>
            </w:tcBorders>
            <w:vAlign w:val="center"/>
          </w:tcPr>
          <w:p w14:paraId="1A1BD5CE">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压滤废水</w:t>
            </w:r>
          </w:p>
        </w:tc>
        <w:tc>
          <w:tcPr>
            <w:tcW w:w="3501" w:type="dxa"/>
            <w:tcBorders>
              <w:tl2br w:val="nil"/>
              <w:tr2bl w:val="nil"/>
            </w:tcBorders>
            <w:vAlign w:val="center"/>
          </w:tcPr>
          <w:p w14:paraId="7F2A8DA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经沉淀池处理后直接回用于球磨工序，压滤废水沉淀池20m</w:t>
            </w:r>
            <w:r>
              <w:rPr>
                <w:rFonts w:hint="eastAsia" w:ascii="Times New Roman" w:hAnsi="Times New Roman" w:eastAsia="宋体" w:cs="Times New Roman"/>
                <w:color w:val="000000" w:themeColor="text1"/>
                <w:sz w:val="21"/>
                <w:szCs w:val="21"/>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1792" w:type="dxa"/>
            <w:tcBorders>
              <w:tl2br w:val="nil"/>
              <w:tr2bl w:val="nil"/>
            </w:tcBorders>
            <w:vAlign w:val="center"/>
          </w:tcPr>
          <w:p w14:paraId="49491FF4">
            <w:pPr>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22D699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68B99079">
            <w:pPr>
              <w:pStyle w:val="37"/>
              <w:spacing w:after="0" w:line="240" w:lineRule="auto"/>
              <w:ind w:firstLine="0" w:firstLineChars="0"/>
              <w:jc w:val="center"/>
            </w:pPr>
          </w:p>
        </w:tc>
        <w:tc>
          <w:tcPr>
            <w:tcW w:w="1374" w:type="dxa"/>
            <w:vMerge w:val="continue"/>
            <w:tcBorders>
              <w:tl2br w:val="nil"/>
              <w:tr2bl w:val="nil"/>
            </w:tcBorders>
            <w:vAlign w:val="center"/>
          </w:tcPr>
          <w:p w14:paraId="614EB5EE">
            <w:pPr>
              <w:pStyle w:val="37"/>
              <w:spacing w:after="0" w:line="240" w:lineRule="auto"/>
              <w:ind w:firstLine="0" w:firstLineChars="0"/>
              <w:jc w:val="center"/>
            </w:pPr>
          </w:p>
        </w:tc>
        <w:tc>
          <w:tcPr>
            <w:tcW w:w="1401" w:type="dxa"/>
            <w:tcBorders>
              <w:tl2br w:val="nil"/>
              <w:tr2bl w:val="nil"/>
            </w:tcBorders>
            <w:vAlign w:val="center"/>
          </w:tcPr>
          <w:p w14:paraId="04C98911">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制釉设备清洗废水</w:t>
            </w:r>
          </w:p>
        </w:tc>
        <w:tc>
          <w:tcPr>
            <w:tcW w:w="3501" w:type="dxa"/>
            <w:tcBorders>
              <w:tl2br w:val="nil"/>
              <w:tr2bl w:val="nil"/>
            </w:tcBorders>
            <w:vAlign w:val="center"/>
          </w:tcPr>
          <w:p w14:paraId="5C248149">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制釉废水经车间内沉淀池处理达标后回用于制釉，沉淀池2m</w:t>
            </w:r>
            <w:r>
              <w:rPr>
                <w:rFonts w:hint="eastAsia" w:ascii="Times New Roman" w:hAnsi="Times New Roman" w:eastAsia="宋体" w:cs="Times New Roman"/>
                <w:color w:val="000000" w:themeColor="text1"/>
                <w:sz w:val="21"/>
                <w:szCs w:val="21"/>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1792" w:type="dxa"/>
            <w:tcBorders>
              <w:tl2br w:val="nil"/>
              <w:tr2bl w:val="nil"/>
            </w:tcBorders>
            <w:vAlign w:val="center"/>
          </w:tcPr>
          <w:p w14:paraId="06516CD1">
            <w:pPr>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28FAE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14CC163A">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374" w:type="dxa"/>
            <w:vMerge w:val="continue"/>
            <w:tcBorders>
              <w:tl2br w:val="nil"/>
              <w:tr2bl w:val="nil"/>
            </w:tcBorders>
            <w:vAlign w:val="center"/>
          </w:tcPr>
          <w:p w14:paraId="23A79123">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01" w:type="dxa"/>
            <w:tcBorders>
              <w:tl2br w:val="nil"/>
              <w:tr2bl w:val="nil"/>
            </w:tcBorders>
            <w:vAlign w:val="center"/>
          </w:tcPr>
          <w:p w14:paraId="2B71898B">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制模间清洗废水</w:t>
            </w:r>
          </w:p>
        </w:tc>
        <w:tc>
          <w:tcPr>
            <w:tcW w:w="3501" w:type="dxa"/>
            <w:vMerge w:val="restart"/>
            <w:tcBorders>
              <w:tl2br w:val="nil"/>
              <w:tr2bl w:val="nil"/>
            </w:tcBorders>
            <w:vAlign w:val="center"/>
          </w:tcPr>
          <w:p w14:paraId="3441190F">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收集进入厂区废水处理站(30m</w:t>
            </w:r>
            <w:r>
              <w:rPr>
                <w:rFonts w:hint="eastAsia" w:ascii="Times New Roman" w:hAnsi="Times New Roman" w:eastAsia="宋体" w:cs="Times New Roman"/>
                <w:color w:val="000000" w:themeColor="text1"/>
                <w:sz w:val="21"/>
                <w:szCs w:val="21"/>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/d，采用絮凝沉淀工艺处理达标后，90%回用于生产，剩余10%排入周边污水管网，通过王仙镇集中排污口排入店香河。</w:t>
            </w:r>
          </w:p>
        </w:tc>
        <w:tc>
          <w:tcPr>
            <w:tcW w:w="1792" w:type="dxa"/>
            <w:tcBorders>
              <w:tl2br w:val="nil"/>
              <w:tr2bl w:val="nil"/>
            </w:tcBorders>
            <w:vAlign w:val="center"/>
          </w:tcPr>
          <w:p w14:paraId="341E3770">
            <w:pPr>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6548C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68F18338">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374" w:type="dxa"/>
            <w:vMerge w:val="continue"/>
            <w:tcBorders>
              <w:tl2br w:val="nil"/>
              <w:tr2bl w:val="nil"/>
            </w:tcBorders>
            <w:vAlign w:val="center"/>
          </w:tcPr>
          <w:p w14:paraId="64F76141">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01" w:type="dxa"/>
            <w:tcBorders>
              <w:tl2br w:val="nil"/>
              <w:tr2bl w:val="nil"/>
            </w:tcBorders>
            <w:vAlign w:val="center"/>
          </w:tcPr>
          <w:p w14:paraId="4DE6A6FB">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精坯洗坯废水</w:t>
            </w:r>
          </w:p>
        </w:tc>
        <w:tc>
          <w:tcPr>
            <w:tcW w:w="3501" w:type="dxa"/>
            <w:vMerge w:val="continue"/>
            <w:tcBorders>
              <w:tl2br w:val="nil"/>
              <w:tr2bl w:val="nil"/>
            </w:tcBorders>
            <w:vAlign w:val="center"/>
          </w:tcPr>
          <w:p w14:paraId="19190857">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792" w:type="dxa"/>
            <w:tcBorders>
              <w:tl2br w:val="nil"/>
              <w:tr2bl w:val="nil"/>
            </w:tcBorders>
            <w:vAlign w:val="center"/>
          </w:tcPr>
          <w:p w14:paraId="17A89659">
            <w:pPr>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32EA0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48B2FEAE">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374" w:type="dxa"/>
            <w:vMerge w:val="continue"/>
            <w:tcBorders>
              <w:tl2br w:val="nil"/>
              <w:tr2bl w:val="nil"/>
            </w:tcBorders>
            <w:vAlign w:val="center"/>
          </w:tcPr>
          <w:p w14:paraId="5E4ADDE4">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01" w:type="dxa"/>
            <w:tcBorders>
              <w:tl2br w:val="nil"/>
              <w:tr2bl w:val="nil"/>
            </w:tcBorders>
            <w:vAlign w:val="center"/>
          </w:tcPr>
          <w:p w14:paraId="79EC720F">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车间地面冲洗废水</w:t>
            </w:r>
          </w:p>
        </w:tc>
        <w:tc>
          <w:tcPr>
            <w:tcW w:w="3501" w:type="dxa"/>
            <w:vMerge w:val="continue"/>
            <w:tcBorders>
              <w:tl2br w:val="nil"/>
              <w:tr2bl w:val="nil"/>
            </w:tcBorders>
            <w:vAlign w:val="center"/>
          </w:tcPr>
          <w:p w14:paraId="132540A5">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792" w:type="dxa"/>
            <w:tcBorders>
              <w:tl2br w:val="nil"/>
              <w:tr2bl w:val="nil"/>
            </w:tcBorders>
            <w:vAlign w:val="center"/>
          </w:tcPr>
          <w:p w14:paraId="3BC34783">
            <w:pPr>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235BF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2ADD6890">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374" w:type="dxa"/>
            <w:vMerge w:val="continue"/>
            <w:tcBorders>
              <w:tl2br w:val="nil"/>
              <w:tr2bl w:val="nil"/>
            </w:tcBorders>
            <w:vAlign w:val="center"/>
          </w:tcPr>
          <w:p w14:paraId="7A08B586">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01" w:type="dxa"/>
            <w:tcBorders>
              <w:tl2br w:val="nil"/>
              <w:tr2bl w:val="nil"/>
            </w:tcBorders>
            <w:vAlign w:val="center"/>
          </w:tcPr>
          <w:p w14:paraId="11315D17">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生活污水</w:t>
            </w:r>
          </w:p>
        </w:tc>
        <w:tc>
          <w:tcPr>
            <w:tcW w:w="3501" w:type="dxa"/>
            <w:tcBorders>
              <w:tl2br w:val="nil"/>
              <w:tr2bl w:val="nil"/>
            </w:tcBorders>
            <w:vAlign w:val="center"/>
          </w:tcPr>
          <w:p w14:paraId="4BBEFD0B">
            <w:pPr>
              <w:pStyle w:val="37"/>
              <w:spacing w:after="0"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经地埋式一体化处理设施处理后排入东面</w:t>
            </w:r>
            <w:r>
              <w:rPr>
                <w:rFonts w:hint="eastAsia" w:eastAsia="宋体" w:cs="Times New Roman"/>
                <w:color w:val="auto"/>
                <w:sz w:val="21"/>
                <w:szCs w:val="21"/>
                <w:u w:val="none" w:color="auto"/>
                <w:lang w:val="en-US" w:eastAsia="zh-CN"/>
              </w:rPr>
              <w:t>店香河</w:t>
            </w:r>
            <w:r>
              <w:rPr>
                <w:rFonts w:hint="default" w:ascii="Times New Roman" w:hAnsi="Times New Roman" w:eastAsia="宋体" w:cs="Times New Roman"/>
                <w:color w:val="auto"/>
                <w:sz w:val="21"/>
                <w:szCs w:val="21"/>
                <w:u w:val="none" w:color="auto"/>
                <w:lang w:val="en-US" w:eastAsia="zh-CN"/>
              </w:rPr>
              <w:t>，处理规模 10m</w:t>
            </w:r>
            <w:r>
              <w:rPr>
                <w:rFonts w:hint="eastAsia"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/d。</w:t>
            </w:r>
          </w:p>
        </w:tc>
        <w:tc>
          <w:tcPr>
            <w:tcW w:w="1792" w:type="dxa"/>
            <w:tcBorders>
              <w:tl2br w:val="nil"/>
              <w:tr2bl w:val="nil"/>
            </w:tcBorders>
            <w:vAlign w:val="center"/>
          </w:tcPr>
          <w:p w14:paraId="5EE1DF42">
            <w:pPr>
              <w:spacing w:after="0" w:line="240" w:lineRule="auto"/>
              <w:ind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auto"/>
                <w:sz w:val="21"/>
                <w:szCs w:val="21"/>
                <w:lang w:val="en-US" w:eastAsia="zh-CN"/>
              </w:rPr>
              <w:t>生活污水经四格化粪池处理后外排</w:t>
            </w:r>
          </w:p>
        </w:tc>
      </w:tr>
      <w:tr w14:paraId="6650C2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752AC7B8">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vMerge w:val="restart"/>
            <w:tcBorders>
              <w:tl2br w:val="nil"/>
              <w:tr2bl w:val="nil"/>
            </w:tcBorders>
            <w:vAlign w:val="center"/>
          </w:tcPr>
          <w:p w14:paraId="55FFD6ED">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spacing w:val="8"/>
                <w:sz w:val="21"/>
                <w:szCs w:val="21"/>
                <w:u w:val="none" w:color="auto"/>
              </w:rPr>
              <w:t>废气处理设施</w:t>
            </w:r>
          </w:p>
        </w:tc>
        <w:tc>
          <w:tcPr>
            <w:tcW w:w="1401" w:type="dxa"/>
            <w:tcBorders>
              <w:tl2br w:val="nil"/>
              <w:tr2bl w:val="nil"/>
            </w:tcBorders>
            <w:vAlign w:val="center"/>
          </w:tcPr>
          <w:p w14:paraId="75692870">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烧成废气</w:t>
            </w:r>
          </w:p>
        </w:tc>
        <w:tc>
          <w:tcPr>
            <w:tcW w:w="3501" w:type="dxa"/>
            <w:tcBorders>
              <w:tl2br w:val="nil"/>
              <w:tr2bl w:val="nil"/>
            </w:tcBorders>
            <w:vAlign w:val="center"/>
          </w:tcPr>
          <w:p w14:paraId="3096CE23">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采用天然气作能源，经15m高排气筒(F1)排放。</w:t>
            </w:r>
          </w:p>
        </w:tc>
        <w:tc>
          <w:tcPr>
            <w:tcW w:w="1792" w:type="dxa"/>
            <w:tcBorders>
              <w:tl2br w:val="nil"/>
              <w:tr2bl w:val="nil"/>
            </w:tcBorders>
            <w:vAlign w:val="center"/>
          </w:tcPr>
          <w:p w14:paraId="3E468A45">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6A6E17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2D15305B">
            <w:pPr>
              <w:spacing w:after="0" w:line="240" w:lineRule="auto"/>
              <w:ind w:firstLine="0" w:firstLineChars="0"/>
              <w:jc w:val="center"/>
            </w:pPr>
          </w:p>
        </w:tc>
        <w:tc>
          <w:tcPr>
            <w:tcW w:w="1374" w:type="dxa"/>
            <w:vMerge w:val="continue"/>
            <w:tcBorders>
              <w:tl2br w:val="nil"/>
              <w:tr2bl w:val="nil"/>
            </w:tcBorders>
            <w:vAlign w:val="center"/>
          </w:tcPr>
          <w:p w14:paraId="1D247649">
            <w:pPr>
              <w:spacing w:after="0" w:line="240" w:lineRule="auto"/>
              <w:ind w:firstLine="0" w:firstLineChars="0"/>
              <w:jc w:val="center"/>
            </w:pPr>
          </w:p>
        </w:tc>
        <w:tc>
          <w:tcPr>
            <w:tcW w:w="1401" w:type="dxa"/>
            <w:tcBorders>
              <w:tl2br w:val="nil"/>
              <w:tr2bl w:val="nil"/>
            </w:tcBorders>
            <w:vAlign w:val="center"/>
          </w:tcPr>
          <w:p w14:paraId="24EF615B">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烤花废气</w:t>
            </w:r>
          </w:p>
        </w:tc>
        <w:tc>
          <w:tcPr>
            <w:tcW w:w="3501" w:type="dxa"/>
            <w:tcBorders>
              <w:tl2br w:val="nil"/>
              <w:tr2bl w:val="nil"/>
            </w:tcBorders>
            <w:vAlign w:val="center"/>
          </w:tcPr>
          <w:p w14:paraId="3DF839DD">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采用天然气作能源，经 15m高排气筒(F2)排放。</w:t>
            </w:r>
          </w:p>
        </w:tc>
        <w:tc>
          <w:tcPr>
            <w:tcW w:w="1792" w:type="dxa"/>
            <w:tcBorders>
              <w:tl2br w:val="nil"/>
              <w:tr2bl w:val="nil"/>
            </w:tcBorders>
            <w:vAlign w:val="center"/>
          </w:tcPr>
          <w:p w14:paraId="0D75B633">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取消建设</w:t>
            </w:r>
          </w:p>
        </w:tc>
      </w:tr>
      <w:tr w14:paraId="5BB9E4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369D79AA">
            <w:pPr>
              <w:spacing w:after="0" w:line="240" w:lineRule="auto"/>
              <w:ind w:firstLine="0" w:firstLineChars="0"/>
              <w:jc w:val="center"/>
              <w:rPr>
                <w:rFonts w:hint="default" w:ascii="Times New Roman" w:hAnsi="Times New Roman" w:eastAsia="宋体" w:cs="Times New Roman"/>
                <w:color w:val="auto"/>
                <w:sz w:val="21"/>
                <w:szCs w:val="21"/>
                <w:u w:val="none" w:color="auto"/>
              </w:rPr>
            </w:pPr>
          </w:p>
        </w:tc>
        <w:tc>
          <w:tcPr>
            <w:tcW w:w="1374" w:type="dxa"/>
            <w:vMerge w:val="continue"/>
            <w:tcBorders>
              <w:tl2br w:val="nil"/>
              <w:tr2bl w:val="nil"/>
            </w:tcBorders>
            <w:vAlign w:val="center"/>
          </w:tcPr>
          <w:p w14:paraId="3425B2F6">
            <w:pPr>
              <w:spacing w:after="0" w:line="240" w:lineRule="auto"/>
              <w:ind w:firstLine="0" w:firstLineChars="0"/>
              <w:jc w:val="center"/>
              <w:rPr>
                <w:rFonts w:hint="default" w:ascii="Times New Roman" w:hAnsi="Times New Roman" w:eastAsia="宋体" w:cs="Times New Roman"/>
                <w:color w:val="auto"/>
                <w:sz w:val="21"/>
                <w:szCs w:val="21"/>
                <w:u w:val="none" w:color="auto"/>
              </w:rPr>
            </w:pPr>
          </w:p>
        </w:tc>
        <w:tc>
          <w:tcPr>
            <w:tcW w:w="1401" w:type="dxa"/>
            <w:tcBorders>
              <w:tl2br w:val="nil"/>
              <w:tr2bl w:val="nil"/>
            </w:tcBorders>
            <w:vAlign w:val="center"/>
          </w:tcPr>
          <w:p w14:paraId="70E979A5">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原料堆存、装卸及配料粉尘</w:t>
            </w:r>
          </w:p>
        </w:tc>
        <w:tc>
          <w:tcPr>
            <w:tcW w:w="3501" w:type="dxa"/>
            <w:tcBorders>
              <w:tl2br w:val="nil"/>
              <w:tr2bl w:val="nil"/>
            </w:tcBorders>
            <w:vAlign w:val="center"/>
          </w:tcPr>
          <w:p w14:paraId="3B1D28DD">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三面封闭原料棚、喷雾洒水装置</w:t>
            </w:r>
          </w:p>
        </w:tc>
        <w:tc>
          <w:tcPr>
            <w:tcW w:w="1792" w:type="dxa"/>
            <w:tcBorders>
              <w:tl2br w:val="nil"/>
              <w:tr2bl w:val="nil"/>
            </w:tcBorders>
            <w:vAlign w:val="center"/>
          </w:tcPr>
          <w:p w14:paraId="6963E6F4">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31995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22F42BAA">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vMerge w:val="restart"/>
            <w:tcBorders>
              <w:tl2br w:val="nil"/>
              <w:tr2bl w:val="nil"/>
            </w:tcBorders>
            <w:vAlign w:val="center"/>
          </w:tcPr>
          <w:p w14:paraId="3E51BE66">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spacing w:val="5"/>
                <w:sz w:val="21"/>
                <w:szCs w:val="21"/>
                <w:u w:val="none" w:color="auto"/>
              </w:rPr>
              <w:t>固废处置措施</w:t>
            </w:r>
          </w:p>
        </w:tc>
        <w:tc>
          <w:tcPr>
            <w:tcW w:w="1401" w:type="dxa"/>
            <w:tcBorders>
              <w:tl2br w:val="nil"/>
              <w:tr2bl w:val="nil"/>
            </w:tcBorders>
            <w:vAlign w:val="center"/>
          </w:tcPr>
          <w:p w14:paraId="5CDC663F">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一般固废处置</w:t>
            </w:r>
          </w:p>
        </w:tc>
        <w:tc>
          <w:tcPr>
            <w:tcW w:w="3501" w:type="dxa"/>
            <w:tcBorders>
              <w:tl2br w:val="nil"/>
              <w:tr2bl w:val="nil"/>
            </w:tcBorders>
            <w:vAlign w:val="center"/>
          </w:tcPr>
          <w:p w14:paraId="31D57E0E">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新增设一般固废暂存间，占地面积60m</w:t>
            </w:r>
            <w:r>
              <w:rPr>
                <w:rFonts w:hint="eastAsia" w:ascii="Times New Roman" w:hAnsi="Times New Roman" w:eastAsia="宋体"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，用三面封闭的堆棚，位于厂区中部。</w:t>
            </w:r>
          </w:p>
        </w:tc>
        <w:tc>
          <w:tcPr>
            <w:tcW w:w="1792" w:type="dxa"/>
            <w:tcBorders>
              <w:tl2br w:val="nil"/>
              <w:tr2bl w:val="nil"/>
            </w:tcBorders>
            <w:vAlign w:val="center"/>
          </w:tcPr>
          <w:p w14:paraId="6994CA31">
            <w:pPr>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2B5875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75DD87AF">
            <w:pPr>
              <w:spacing w:after="0" w:line="240" w:lineRule="auto"/>
              <w:ind w:firstLine="0" w:firstLineChars="0"/>
              <w:jc w:val="center"/>
            </w:pPr>
          </w:p>
        </w:tc>
        <w:tc>
          <w:tcPr>
            <w:tcW w:w="1374" w:type="dxa"/>
            <w:vMerge w:val="continue"/>
            <w:tcBorders>
              <w:tl2br w:val="nil"/>
              <w:tr2bl w:val="nil"/>
            </w:tcBorders>
            <w:vAlign w:val="center"/>
          </w:tcPr>
          <w:p w14:paraId="1A760D65">
            <w:pPr>
              <w:spacing w:after="0" w:line="240" w:lineRule="auto"/>
              <w:ind w:firstLine="0" w:firstLineChars="0"/>
              <w:jc w:val="center"/>
            </w:pPr>
          </w:p>
        </w:tc>
        <w:tc>
          <w:tcPr>
            <w:tcW w:w="1401" w:type="dxa"/>
            <w:tcBorders>
              <w:tl2br w:val="nil"/>
              <w:tr2bl w:val="nil"/>
            </w:tcBorders>
            <w:vAlign w:val="center"/>
          </w:tcPr>
          <w:p w14:paraId="2617CFBD">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危险固废处置</w:t>
            </w:r>
          </w:p>
        </w:tc>
        <w:tc>
          <w:tcPr>
            <w:tcW w:w="3501" w:type="dxa"/>
            <w:tcBorders>
              <w:tl2br w:val="nil"/>
              <w:tr2bl w:val="nil"/>
            </w:tcBorders>
            <w:vAlign w:val="center"/>
          </w:tcPr>
          <w:p w14:paraId="40AE20F4">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危险废物暂存间，占地面积 4m</w:t>
            </w:r>
            <w:r>
              <w:rPr>
                <w:rFonts w:hint="eastAsia" w:ascii="Times New Roman" w:hAnsi="Times New Roman" w:eastAsia="宋体" w:cs="Times New Roman"/>
                <w:color w:val="000000" w:themeColor="text1"/>
                <w:sz w:val="21"/>
                <w:szCs w:val="21"/>
                <w:highlight w:val="none"/>
                <w:u w:val="non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，位于白瓷生产车间内</w:t>
            </w:r>
          </w:p>
        </w:tc>
        <w:tc>
          <w:tcPr>
            <w:tcW w:w="1792" w:type="dxa"/>
            <w:tcBorders>
              <w:tl2br w:val="nil"/>
              <w:tr2bl w:val="nil"/>
            </w:tcBorders>
            <w:vAlign w:val="center"/>
          </w:tcPr>
          <w:p w14:paraId="4F40CAE3">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改为厂区西北侧</w:t>
            </w:r>
          </w:p>
        </w:tc>
      </w:tr>
      <w:tr w14:paraId="76644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0F021075">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74" w:type="dxa"/>
            <w:vMerge w:val="continue"/>
            <w:tcBorders>
              <w:tl2br w:val="nil"/>
              <w:tr2bl w:val="nil"/>
            </w:tcBorders>
            <w:vAlign w:val="center"/>
          </w:tcPr>
          <w:p w14:paraId="1F12C8D8">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401" w:type="dxa"/>
            <w:tcBorders>
              <w:tl2br w:val="nil"/>
              <w:tr2bl w:val="nil"/>
            </w:tcBorders>
            <w:vAlign w:val="center"/>
          </w:tcPr>
          <w:p w14:paraId="524CAB56">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生活垃圾</w:t>
            </w:r>
          </w:p>
        </w:tc>
        <w:tc>
          <w:tcPr>
            <w:tcW w:w="3501" w:type="dxa"/>
            <w:tcBorders>
              <w:tl2br w:val="nil"/>
              <w:tr2bl w:val="nil"/>
            </w:tcBorders>
            <w:vAlign w:val="center"/>
          </w:tcPr>
          <w:p w14:paraId="64E6016B">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收集后委托环卫部门清运</w:t>
            </w:r>
          </w:p>
        </w:tc>
        <w:tc>
          <w:tcPr>
            <w:tcW w:w="1792" w:type="dxa"/>
            <w:tcBorders>
              <w:tl2br w:val="nil"/>
              <w:tr2bl w:val="nil"/>
            </w:tcBorders>
            <w:vAlign w:val="center"/>
          </w:tcPr>
          <w:p w14:paraId="4AC5F239">
            <w:pPr>
              <w:spacing w:after="0" w:line="240" w:lineRule="auto"/>
              <w:ind w:firstLine="0" w:firstLineChars="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r w14:paraId="787097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3" w:type="dxa"/>
            <w:vMerge w:val="continue"/>
            <w:tcBorders>
              <w:tl2br w:val="nil"/>
              <w:tr2bl w:val="nil"/>
            </w:tcBorders>
            <w:vAlign w:val="center"/>
          </w:tcPr>
          <w:p w14:paraId="40ADCB03">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4" w:type="dxa"/>
            <w:tcBorders>
              <w:tl2br w:val="nil"/>
              <w:tr2bl w:val="nil"/>
            </w:tcBorders>
            <w:vAlign w:val="center"/>
          </w:tcPr>
          <w:p w14:paraId="458E3E77">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spacing w:val="6"/>
                <w:sz w:val="21"/>
                <w:szCs w:val="21"/>
                <w:u w:val="none" w:color="auto"/>
              </w:rPr>
              <w:t>噪声防治措施</w:t>
            </w:r>
          </w:p>
        </w:tc>
        <w:tc>
          <w:tcPr>
            <w:tcW w:w="4902" w:type="dxa"/>
            <w:gridSpan w:val="2"/>
            <w:tcBorders>
              <w:tl2br w:val="nil"/>
              <w:tr2bl w:val="nil"/>
            </w:tcBorders>
            <w:vAlign w:val="center"/>
          </w:tcPr>
          <w:p w14:paraId="611CA130">
            <w:pPr>
              <w:pStyle w:val="3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设备消声、厂房隔声、基础</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减振</w:t>
            </w:r>
          </w:p>
        </w:tc>
        <w:tc>
          <w:tcPr>
            <w:tcW w:w="1792" w:type="dxa"/>
            <w:tcBorders>
              <w:tl2br w:val="nil"/>
              <w:tr2bl w:val="nil"/>
            </w:tcBorders>
            <w:vAlign w:val="center"/>
          </w:tcPr>
          <w:p w14:paraId="056ECEBB">
            <w:pPr>
              <w:pStyle w:val="37"/>
              <w:spacing w:after="0"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与环评一致</w:t>
            </w:r>
          </w:p>
        </w:tc>
      </w:tr>
    </w:tbl>
    <w:p w14:paraId="7996E181">
      <w:pPr>
        <w:spacing w:after="0" w:line="480" w:lineRule="exact"/>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生产设备见验收报告表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3-4</w:t>
      </w:r>
      <w:r>
        <w:rPr>
          <w:rFonts w:hint="eastAsia" w:ascii="Times New Roman" w:hAnsi="Times New Roman" w:eastAsia="宋体" w:cs="Times New Roman"/>
          <w:bCs/>
          <w:color w:val="000000" w:themeColor="text1"/>
          <w:sz w:val="24"/>
          <w:szCs w:val="24"/>
          <w14:textFill>
            <w14:solidFill>
              <w14:schemeClr w14:val="tx1"/>
            </w14:solidFill>
          </w14:textFill>
        </w:rPr>
        <w:t>，原辅材料消耗见验收报告中表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3-5</w:t>
      </w:r>
      <w:r>
        <w:rPr>
          <w:rFonts w:hint="eastAsia" w:ascii="Times New Roman" w:hAnsi="Times New Roman" w:eastAsia="宋体" w:cs="Times New Roman"/>
          <w:bCs/>
          <w:color w:val="000000" w:themeColor="text1"/>
          <w:sz w:val="24"/>
          <w:szCs w:val="24"/>
          <w14:textFill>
            <w14:solidFill>
              <w14:schemeClr w14:val="tx1"/>
            </w14:solidFill>
          </w14:textFill>
        </w:rPr>
        <w:t>。</w:t>
      </w:r>
    </w:p>
    <w:p w14:paraId="53528D0E">
      <w:pPr>
        <w:spacing w:after="0" w:line="480" w:lineRule="exact"/>
        <w:ind w:firstLine="482" w:firstLineChars="200"/>
        <w:rPr>
          <w:rFonts w:hint="eastAsia" w:ascii="Times New Roman" w:hAnsi="Times New Roman" w:eastAsia="宋体" w:cs="Times New Roman"/>
          <w:b/>
          <w:bCs w:val="0"/>
          <w:color w:val="000000" w:themeColor="text1"/>
          <w:sz w:val="24"/>
          <w:szCs w:val="24"/>
          <w14:textFill>
            <w14:solidFill>
              <w14:schemeClr w14:val="tx1"/>
            </w14:solidFill>
          </w14:textFill>
        </w:rPr>
      </w:pPr>
      <w:r>
        <w:rPr>
          <w:rFonts w:hint="eastAsia" w:ascii="Times New Roman" w:hAnsi="Times New Roman" w:eastAsia="宋体" w:cs="Times New Roman"/>
          <w:b/>
          <w:bCs w:val="0"/>
          <w:color w:val="000000" w:themeColor="text1"/>
          <w:sz w:val="24"/>
          <w:szCs w:val="24"/>
          <w14:textFill>
            <w14:solidFill>
              <w14:schemeClr w14:val="tx1"/>
            </w14:solidFill>
          </w14:textFill>
        </w:rPr>
        <w:t>2、建设过程及环保审批情况</w:t>
      </w:r>
    </w:p>
    <w:p w14:paraId="7AE5652C">
      <w:pPr>
        <w:spacing w:after="0" w:line="480" w:lineRule="exact"/>
        <w:ind w:firstLine="480" w:firstLineChars="200"/>
        <w:rPr>
          <w:rFonts w:ascii="Times New Roman" w:hAnsi="Times New Roman" w:eastAsia="宋体" w:cs="Times New Roman"/>
          <w:b w:val="0"/>
          <w:bCs/>
          <w:color w:val="000000" w:themeColor="text1"/>
          <w:sz w:val="24"/>
          <w:szCs w:val="24"/>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醴陵市丰裕瓷厂2020年1月委托湖南宏晟环保技术研究院有限公司编制完成了《醴陵市丰裕瓷厂年产600万件日用陶瓷建设项目环境影响报告书》，2020年1月13日，株洲市生态环境局醴陵分局以株醴环评【2020】10号对该项目予以审批，因属于未批先建，已于2018年11月30日取得了株洲市环境保护局颁发的排污许可证</w:t>
      </w:r>
      <w:r>
        <w:rPr>
          <w:rFonts w:hint="eastAsia" w:ascii="Times New Roman" w:hAnsi="Times New Roman" w:eastAsia="宋体" w:cs="Times New Roman"/>
          <w:b w:val="0"/>
          <w:bCs/>
          <w:color w:val="000000" w:themeColor="text1"/>
          <w:sz w:val="24"/>
          <w:szCs w:val="24"/>
          <w14:textFill>
            <w14:solidFill>
              <w14:schemeClr w14:val="tx1"/>
            </w14:solidFill>
          </w14:textFill>
        </w:rPr>
        <w:t>。</w:t>
      </w:r>
    </w:p>
    <w:p w14:paraId="0CE2E98A">
      <w:pPr>
        <w:spacing w:after="0" w:line="480" w:lineRule="exact"/>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3、项目投资</w:t>
      </w:r>
    </w:p>
    <w:p w14:paraId="4CCEBCF7">
      <w:pPr>
        <w:spacing w:after="0" w:line="480" w:lineRule="exact"/>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项目实际投资为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bCs/>
          <w:color w:val="000000" w:themeColor="text1"/>
          <w:sz w:val="24"/>
          <w:szCs w:val="24"/>
          <w14:textFill>
            <w14:solidFill>
              <w14:schemeClr w14:val="tx1"/>
            </w14:solidFill>
          </w14:textFill>
        </w:rPr>
        <w:t>0</w:t>
      </w:r>
      <w:r>
        <w:rPr>
          <w:rFonts w:ascii="Times New Roman" w:hAnsi="Times New Roman" w:eastAsia="宋体" w:cs="Times New Roman"/>
          <w:bCs/>
          <w:color w:val="000000" w:themeColor="text1"/>
          <w:sz w:val="24"/>
          <w:szCs w:val="24"/>
          <w14:textFill>
            <w14:solidFill>
              <w14:schemeClr w14:val="tx1"/>
            </w14:solidFill>
          </w14:textFill>
        </w:rPr>
        <w:t>万元</w:t>
      </w:r>
      <w:r>
        <w:rPr>
          <w:rFonts w:hint="eastAsia" w:ascii="Times New Roman" w:hAnsi="Times New Roman" w:eastAsia="宋体" w:cs="Times New Roman"/>
          <w:bCs/>
          <w:color w:val="000000" w:themeColor="text1"/>
          <w:sz w:val="24"/>
          <w:szCs w:val="24"/>
          <w14:textFill>
            <w14:solidFill>
              <w14:schemeClr w14:val="tx1"/>
            </w14:solidFill>
          </w14:textFill>
        </w:rPr>
        <w:t>，实际环保投资为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23</w:t>
      </w:r>
      <w:r>
        <w:rPr>
          <w:rFonts w:ascii="Times New Roman" w:hAnsi="Times New Roman" w:eastAsia="宋体" w:cs="Times New Roman"/>
          <w:bCs/>
          <w:color w:val="000000" w:themeColor="text1"/>
          <w:sz w:val="24"/>
          <w:szCs w:val="24"/>
          <w14:textFill>
            <w14:solidFill>
              <w14:schemeClr w14:val="tx1"/>
            </w14:solidFill>
          </w14:textFill>
        </w:rPr>
        <w:t>万元</w:t>
      </w:r>
      <w:r>
        <w:rPr>
          <w:rFonts w:hint="eastAsia" w:ascii="Times New Roman" w:hAnsi="Times New Roman" w:eastAsia="宋体" w:cs="Times New Roman"/>
          <w:bCs/>
          <w:color w:val="000000" w:themeColor="text1"/>
          <w:sz w:val="24"/>
          <w:szCs w:val="24"/>
          <w14:textFill>
            <w14:solidFill>
              <w14:schemeClr w14:val="tx1"/>
            </w14:solidFill>
          </w14:textFill>
        </w:rPr>
        <w:t>，实际环保投资占实际投资的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11.5</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w:t>
      </w:r>
    </w:p>
    <w:p w14:paraId="2FA8FE34">
      <w:pPr>
        <w:spacing w:after="0" w:line="48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4、验收范围</w:t>
      </w:r>
    </w:p>
    <w:p w14:paraId="3956AA54">
      <w:pPr>
        <w:spacing w:after="0" w:line="480" w:lineRule="exact"/>
        <w:ind w:firstLine="480" w:firstLineChars="200"/>
        <w:rPr>
          <w:rFonts w:hint="eastAsia"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本次验收范围为环评报告</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书</w:t>
      </w:r>
      <w:r>
        <w:rPr>
          <w:rFonts w:hint="eastAsia" w:ascii="Times New Roman" w:hAnsi="Times New Roman" w:eastAsia="宋体" w:cs="Times New Roman"/>
          <w:bCs/>
          <w:color w:val="000000" w:themeColor="text1"/>
          <w:sz w:val="24"/>
          <w:szCs w:val="24"/>
          <w14:textFill>
            <w14:solidFill>
              <w14:schemeClr w14:val="tx1"/>
            </w14:solidFill>
          </w14:textFill>
        </w:rPr>
        <w:t>及环评批复的工程内容。</w:t>
      </w:r>
    </w:p>
    <w:p w14:paraId="46B63295">
      <w:pPr>
        <w:spacing w:after="0" w:line="480" w:lineRule="exact"/>
        <w:ind w:firstLine="482"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二、工程变动情况</w:t>
      </w:r>
    </w:p>
    <w:p w14:paraId="736820F2">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经过对醴陵市丰裕瓷厂年产600万件日用陶瓷建设项目现场核查，对照生态环境部发布的</w:t>
      </w:r>
      <w:r>
        <w:rPr>
          <w:rFonts w:hint="eastAsia" w:ascii="Times New Roman" w:hAnsi="Times New Roman" w:eastAsia="宋体" w:cs="Times New Roman"/>
          <w:b w:val="0"/>
          <w:bCs/>
          <w:color w:val="000000" w:themeColor="text1"/>
          <w:sz w:val="24"/>
          <w:szCs w:val="24"/>
          <w:lang w:val="en-GB" w:eastAsia="zh-CN"/>
          <w14:textFill>
            <w14:solidFill>
              <w14:schemeClr w14:val="tx1"/>
            </w14:solidFill>
          </w14:textFill>
        </w:rPr>
        <w:t>《污染影响类建设项目重大变动清单（试行）》（环办环评函〔2020〕688号）文，</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本项目无重大变动。</w:t>
      </w:r>
    </w:p>
    <w:p w14:paraId="752DDFC1">
      <w:pPr>
        <w:spacing w:after="0" w:line="480" w:lineRule="exact"/>
        <w:ind w:firstLine="482"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三、环境保护设施建设情况</w:t>
      </w:r>
    </w:p>
    <w:p w14:paraId="79D4ABD3">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0" w:name="_Toc6403"/>
      <w:bookmarkStart w:id="1" w:name="_Toc6266"/>
      <w:bookmarkStart w:id="2" w:name="_Toc16368"/>
      <w:bookmarkStart w:id="3" w:name="_Toc6408"/>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 、废水</w:t>
      </w:r>
    </w:p>
    <w:p w14:paraId="381ADC4B">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营运期废水主要为压滤废水、制釉设备清洗废水、制模间清洗废水、精坯洗坯废水、车间地面冲洗废水、职工生活污水。场区运营期实行严格的雨污分流制，独立设立雨水沟，雨水就近外排；生活污水经四格化粪池处理后外排至东侧店香河，压滤废水、制釉设备清洗废水经车间沉淀池处理后全部回用，制模间清洗废水、精坯洗坯废水、车间地面冲洗废水经厂区污水处理站絮凝沉淀后90%回用，剩余10%排入东侧店香河。</w:t>
      </w:r>
    </w:p>
    <w:p w14:paraId="4AACEE7D">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2、废气</w:t>
      </w:r>
    </w:p>
    <w:p w14:paraId="2931AE86">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本项目营运期废气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主要为原料堆存、装卸及配料粉尘、烧成辊道窑废气，原料堆场三面封闭并设置喷雾洒水装置抑尘，辊道窑采用天然气作为能源，燃烧废气由15m排气筒排放</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BDA7FB3">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3、噪声</w:t>
      </w:r>
    </w:p>
    <w:p w14:paraId="14AEE3E9">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本项目噪声主要来源于机械设备运行时产生的机械噪声，建设单位采用合理布局、厂房隔声等降噪措施来降低噪声对周边环境的影响。</w:t>
      </w:r>
    </w:p>
    <w:p w14:paraId="7B7CA14D">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4、固体废物</w:t>
      </w:r>
    </w:p>
    <w:bookmarkEnd w:id="0"/>
    <w:bookmarkEnd w:id="1"/>
    <w:bookmarkEnd w:id="2"/>
    <w:bookmarkEnd w:id="3"/>
    <w:p w14:paraId="638E2449">
      <w:pPr>
        <w:spacing w:after="0" w:line="480" w:lineRule="exact"/>
        <w:ind w:firstLine="480" w:firstLineChars="200"/>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固体废物主要为原料拣选杂质、含铁杂质、过筛废渣、废石膏模具、不合格品、沉淀污泥、废原料包装袋、废耐火材料、生活垃圾及废矿物油等。其中生活垃圾收集后由环卫部门定期清运处理，废矿物油用作脱模剂，拣选杂质、含铁杂质、过筛废渣、废石膏模具、不合格品、沉淀污泥、废耐火材料用作铺路材料，废包装材料收集后外售综合利用。</w:t>
      </w:r>
    </w:p>
    <w:p w14:paraId="56EC033D">
      <w:pPr>
        <w:spacing w:after="0" w:line="480" w:lineRule="exact"/>
        <w:ind w:firstLine="482"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四、环保设施运行调试效果</w:t>
      </w:r>
    </w:p>
    <w:p w14:paraId="1748D1AA">
      <w:pPr>
        <w:spacing w:after="0" w:line="48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（1）废气监测结论</w:t>
      </w:r>
    </w:p>
    <w:p w14:paraId="78C974BA">
      <w:pPr>
        <w:spacing w:after="0" w:line="480" w:lineRule="exact"/>
        <w:ind w:firstLine="480" w:firstLineChars="200"/>
        <w:jc w:val="righ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验收监测期间，项目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有组织排放的颗粒物、SO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、NOx、林格曼黑度、氟化物、氯化氢、铅及其化合物、镉及其化合物、镍及其化合物均符合《陶瓷工业污染物排放标准》(GB25464-2010)表5及修改单中标准限值</w:t>
      </w:r>
      <w:r>
        <w:rPr>
          <w:rFonts w:hint="eastAsia" w:ascii="Times New Roman" w:hAnsi="Times New Roman" w:eastAsia="宋体" w:cs="Times New Roman"/>
          <w:color w:val="000000" w:themeColor="text1"/>
          <w:sz w:val="24"/>
          <w:szCs w:val="24"/>
          <w:lang w:val="en-US" w:eastAsia="zh-CN" w:bidi="zh-CN"/>
          <w14:textFill>
            <w14:solidFill>
              <w14:schemeClr w14:val="tx1"/>
            </w14:solidFill>
          </w14:textFill>
        </w:rPr>
        <w:t>要求；</w:t>
      </w:r>
      <w:r>
        <w:rPr>
          <w:rFonts w:hint="default" w:ascii="Times New Roman" w:hAnsi="Times New Roman" w:eastAsia="宋体" w:cs="Times New Roman"/>
          <w:color w:val="000000" w:themeColor="text1"/>
          <w:sz w:val="24"/>
          <w:szCs w:val="24"/>
          <w14:textFill>
            <w14:solidFill>
              <w14:schemeClr w14:val="tx1"/>
            </w14:solidFill>
          </w14:textFill>
        </w:rPr>
        <w:t>项目厂界上下风</w:t>
      </w:r>
    </w:p>
    <w:p w14:paraId="23AFC8CB">
      <w:pPr>
        <w:pStyle w:val="2"/>
        <w:rPr>
          <w:rFonts w:hint="eastAsia" w:eastAsia="宋体"/>
          <w:lang w:eastAsia="zh-CN"/>
        </w:rPr>
      </w:pPr>
      <w:r>
        <w:rPr>
          <w:rFonts w:hint="eastAsia" w:eastAsia="宋体"/>
          <w:lang w:eastAsia="zh-CN"/>
        </w:rPr>
        <w:drawing>
          <wp:inline distT="0" distB="0" distL="114300" distR="114300">
            <wp:extent cx="5252085" cy="7431405"/>
            <wp:effectExtent l="0" t="0" r="5715" b="5715"/>
            <wp:docPr id="1" name="图片 1" descr="扫描全能王 2026-05-20 08.4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6-05-20 08.42_01"/>
                    <pic:cNvPicPr>
                      <a:picLocks noChangeAspect="1"/>
                    </pic:cNvPicPr>
                  </pic:nvPicPr>
                  <pic:blipFill>
                    <a:blip r:embed="rId5"/>
                    <a:stretch>
                      <a:fillRect/>
                    </a:stretch>
                  </pic:blipFill>
                  <pic:spPr>
                    <a:xfrm>
                      <a:off x="0" y="0"/>
                      <a:ext cx="5252085" cy="7431405"/>
                    </a:xfrm>
                    <a:prstGeom prst="rect">
                      <a:avLst/>
                    </a:prstGeom>
                  </pic:spPr>
                </pic:pic>
              </a:graphicData>
            </a:graphic>
          </wp:inline>
        </w:drawing>
      </w:r>
      <w:bookmarkStart w:id="4" w:name="_GoBack"/>
      <w:r>
        <w:rPr>
          <w:rFonts w:hint="eastAsia" w:eastAsia="宋体"/>
          <w:lang w:eastAsia="zh-CN"/>
        </w:rPr>
        <w:drawing>
          <wp:inline distT="0" distB="0" distL="114300" distR="114300">
            <wp:extent cx="5252085" cy="7431405"/>
            <wp:effectExtent l="0" t="0" r="5715" b="5715"/>
            <wp:docPr id="2" name="图片 2" descr="扫描全能王 2026-05-20 08.4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6-05-20 08.42_02"/>
                    <pic:cNvPicPr>
                      <a:picLocks noChangeAspect="1"/>
                    </pic:cNvPicPr>
                  </pic:nvPicPr>
                  <pic:blipFill>
                    <a:blip r:embed="rId6"/>
                    <a:stretch>
                      <a:fillRect/>
                    </a:stretch>
                  </pic:blipFill>
                  <pic:spPr>
                    <a:xfrm>
                      <a:off x="0" y="0"/>
                      <a:ext cx="5252085" cy="7431405"/>
                    </a:xfrm>
                    <a:prstGeom prst="rect">
                      <a:avLst/>
                    </a:prstGeom>
                  </pic:spPr>
                </pic:pic>
              </a:graphicData>
            </a:graphic>
          </wp:inline>
        </w:drawing>
      </w:r>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D3516A"/>
    <w:multiLevelType w:val="multilevel"/>
    <w:tmpl w:val="7DD3516A"/>
    <w:lvl w:ilvl="0" w:tentative="0">
      <w:start w:val="1"/>
      <w:numFmt w:val="decimal"/>
      <w:pStyle w:val="3"/>
      <w:lvlText w:val="%1"/>
      <w:lvlJc w:val="left"/>
      <w:pPr>
        <w:ind w:left="432" w:hanging="432"/>
      </w:pPr>
      <w:rPr>
        <w:rFonts w:hint="eastAsia"/>
      </w:rPr>
    </w:lvl>
    <w:lvl w:ilvl="1" w:tentative="0">
      <w:start w:val="1"/>
      <w:numFmt w:val="decimal"/>
      <w:pStyle w:val="4"/>
      <w:isLgl/>
      <w:lvlText w:val="%1.%2"/>
      <w:lvlJc w:val="left"/>
      <w:pPr>
        <w:ind w:left="0" w:firstLine="0"/>
      </w:pPr>
      <w:rPr>
        <w:rFonts w:hint="eastAsia"/>
      </w:rPr>
    </w:lvl>
    <w:lvl w:ilvl="2" w:tentative="0">
      <w:start w:val="1"/>
      <w:numFmt w:val="decimal"/>
      <w:pStyle w:val="5"/>
      <w:isLgl/>
      <w:lvlText w:val="%1.%2.%3"/>
      <w:lvlJc w:val="left"/>
      <w:pPr>
        <w:ind w:left="0" w:firstLine="0"/>
      </w:pPr>
      <w:rPr>
        <w:rFonts w:hint="eastAsia"/>
      </w:rPr>
    </w:lvl>
    <w:lvl w:ilvl="3" w:tentative="0">
      <w:start w:val="1"/>
      <w:numFmt w:val="decimal"/>
      <w:pStyle w:val="6"/>
      <w:isLgl/>
      <w:lvlText w:val="%1.%2.%3.%4"/>
      <w:lvlJc w:val="left"/>
      <w:pPr>
        <w:ind w:left="0" w:firstLine="0"/>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5N2ZjNjExYTYxZTIzMTFmYTE0Y2E4Y2RkMGFmYjgifQ=="/>
  </w:docVars>
  <w:rsids>
    <w:rsidRoot w:val="009C706E"/>
    <w:rsid w:val="000F5737"/>
    <w:rsid w:val="00124C42"/>
    <w:rsid w:val="001578AA"/>
    <w:rsid w:val="001C0315"/>
    <w:rsid w:val="001C06BA"/>
    <w:rsid w:val="001D054A"/>
    <w:rsid w:val="004109B4"/>
    <w:rsid w:val="004826B4"/>
    <w:rsid w:val="00750BE7"/>
    <w:rsid w:val="0079740A"/>
    <w:rsid w:val="009C706E"/>
    <w:rsid w:val="00C974F7"/>
    <w:rsid w:val="00D917A6"/>
    <w:rsid w:val="00DA0060"/>
    <w:rsid w:val="016F4DA6"/>
    <w:rsid w:val="052851DF"/>
    <w:rsid w:val="05435443"/>
    <w:rsid w:val="076068DE"/>
    <w:rsid w:val="077E1A2E"/>
    <w:rsid w:val="079F693C"/>
    <w:rsid w:val="098B217B"/>
    <w:rsid w:val="0D296529"/>
    <w:rsid w:val="0D536D61"/>
    <w:rsid w:val="0F64124B"/>
    <w:rsid w:val="128F2D41"/>
    <w:rsid w:val="144D675B"/>
    <w:rsid w:val="14EE6647"/>
    <w:rsid w:val="1990114D"/>
    <w:rsid w:val="1C136BED"/>
    <w:rsid w:val="1FE05A44"/>
    <w:rsid w:val="23990716"/>
    <w:rsid w:val="28E11534"/>
    <w:rsid w:val="29B575A9"/>
    <w:rsid w:val="2B8C705C"/>
    <w:rsid w:val="3131732D"/>
    <w:rsid w:val="31864B6F"/>
    <w:rsid w:val="3F235AF6"/>
    <w:rsid w:val="40016322"/>
    <w:rsid w:val="47B65015"/>
    <w:rsid w:val="48845673"/>
    <w:rsid w:val="49292CBC"/>
    <w:rsid w:val="4C495EA1"/>
    <w:rsid w:val="4DF72706"/>
    <w:rsid w:val="4F460451"/>
    <w:rsid w:val="5B316CA1"/>
    <w:rsid w:val="5C1D3649"/>
    <w:rsid w:val="5C321615"/>
    <w:rsid w:val="5DE057B4"/>
    <w:rsid w:val="61CD607A"/>
    <w:rsid w:val="61E0242D"/>
    <w:rsid w:val="67FC08AF"/>
    <w:rsid w:val="6BB96271"/>
    <w:rsid w:val="6C1D4C75"/>
    <w:rsid w:val="6C4E44ED"/>
    <w:rsid w:val="70050FB8"/>
    <w:rsid w:val="72C74DCE"/>
    <w:rsid w:val="75552067"/>
    <w:rsid w:val="77BB7079"/>
    <w:rsid w:val="7E494870"/>
    <w:rsid w:val="7EC0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uiPriority="99" w:name="header"/>
    <w:lsdException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ahoma"/>
      <w:kern w:val="0"/>
      <w:sz w:val="22"/>
      <w:szCs w:val="22"/>
      <w:lang w:val="en-US" w:eastAsia="zh-CN" w:bidi="ar-SA"/>
      <w14:ligatures w14:val="none"/>
    </w:rPr>
  </w:style>
  <w:style w:type="paragraph" w:styleId="3">
    <w:name w:val="heading 1"/>
    <w:basedOn w:val="1"/>
    <w:next w:val="1"/>
    <w:link w:val="23"/>
    <w:autoRedefine/>
    <w:qFormat/>
    <w:uiPriority w:val="0"/>
    <w:pPr>
      <w:keepNext/>
      <w:keepLines/>
      <w:widowControl w:val="0"/>
      <w:numPr>
        <w:ilvl w:val="0"/>
        <w:numId w:val="1"/>
      </w:numPr>
      <w:adjustRightInd/>
      <w:snapToGrid/>
      <w:spacing w:before="340" w:after="330" w:line="578" w:lineRule="auto"/>
      <w:jc w:val="both"/>
      <w:outlineLvl w:val="0"/>
    </w:pPr>
    <w:rPr>
      <w:rFonts w:ascii="Calibri" w:hAnsi="Calibri" w:eastAsia="等线" w:cs="Times New Roman"/>
      <w:b/>
      <w:bCs/>
      <w:color w:val="000000"/>
      <w:kern w:val="44"/>
      <w:sz w:val="44"/>
      <w:szCs w:val="44"/>
    </w:rPr>
  </w:style>
  <w:style w:type="paragraph" w:styleId="4">
    <w:name w:val="heading 2"/>
    <w:basedOn w:val="1"/>
    <w:next w:val="1"/>
    <w:link w:val="24"/>
    <w:autoRedefine/>
    <w:qFormat/>
    <w:uiPriority w:val="0"/>
    <w:pPr>
      <w:keepNext/>
      <w:keepLines/>
      <w:widowControl w:val="0"/>
      <w:numPr>
        <w:ilvl w:val="1"/>
        <w:numId w:val="1"/>
      </w:numPr>
      <w:adjustRightInd/>
      <w:snapToGrid/>
      <w:spacing w:before="260" w:after="260" w:line="416" w:lineRule="auto"/>
      <w:jc w:val="both"/>
      <w:outlineLvl w:val="1"/>
    </w:pPr>
    <w:rPr>
      <w:rFonts w:ascii="Arial" w:hAnsi="Arial" w:eastAsia="黑体" w:cs="Times New Roman"/>
      <w:b/>
      <w:bCs/>
      <w:color w:val="000000"/>
      <w:kern w:val="2"/>
      <w:sz w:val="32"/>
      <w:szCs w:val="32"/>
    </w:rPr>
  </w:style>
  <w:style w:type="paragraph" w:styleId="5">
    <w:name w:val="heading 3"/>
    <w:basedOn w:val="1"/>
    <w:next w:val="1"/>
    <w:link w:val="22"/>
    <w:autoRedefine/>
    <w:qFormat/>
    <w:uiPriority w:val="99"/>
    <w:pPr>
      <w:keepNext/>
      <w:keepLines/>
      <w:widowControl w:val="0"/>
      <w:numPr>
        <w:ilvl w:val="2"/>
        <w:numId w:val="1"/>
      </w:numPr>
      <w:adjustRightInd/>
      <w:snapToGrid/>
      <w:spacing w:before="260" w:after="260" w:line="416" w:lineRule="auto"/>
      <w:jc w:val="both"/>
      <w:outlineLvl w:val="2"/>
    </w:pPr>
    <w:rPr>
      <w:rFonts w:ascii="Calibri" w:hAnsi="Calibri" w:eastAsia="等线" w:cs="Times New Roman"/>
      <w:b/>
      <w:bCs/>
      <w:color w:val="000000"/>
      <w:kern w:val="28"/>
      <w:sz w:val="32"/>
      <w:szCs w:val="32"/>
    </w:rPr>
  </w:style>
  <w:style w:type="paragraph" w:styleId="6">
    <w:name w:val="heading 4"/>
    <w:basedOn w:val="1"/>
    <w:next w:val="1"/>
    <w:link w:val="25"/>
    <w:autoRedefine/>
    <w:qFormat/>
    <w:uiPriority w:val="0"/>
    <w:pPr>
      <w:keepNext/>
      <w:keepLines/>
      <w:widowControl w:val="0"/>
      <w:numPr>
        <w:ilvl w:val="3"/>
        <w:numId w:val="1"/>
      </w:numPr>
      <w:adjustRightInd/>
      <w:snapToGrid/>
      <w:spacing w:before="280" w:after="290" w:line="376" w:lineRule="auto"/>
      <w:jc w:val="both"/>
      <w:outlineLvl w:val="3"/>
    </w:pPr>
    <w:rPr>
      <w:rFonts w:ascii="Arial" w:hAnsi="Arial" w:eastAsia="黑体" w:cs="Times New Roman"/>
      <w:b/>
      <w:bCs/>
      <w:color w:val="000000"/>
      <w:kern w:val="28"/>
      <w:sz w:val="28"/>
      <w:szCs w:val="28"/>
    </w:rPr>
  </w:style>
  <w:style w:type="paragraph" w:styleId="7">
    <w:name w:val="heading 6"/>
    <w:basedOn w:val="1"/>
    <w:next w:val="1"/>
    <w:link w:val="26"/>
    <w:autoRedefine/>
    <w:qFormat/>
    <w:uiPriority w:val="0"/>
    <w:pPr>
      <w:keepNext/>
      <w:keepLines/>
      <w:widowControl w:val="0"/>
      <w:adjustRightInd/>
      <w:snapToGrid/>
      <w:spacing w:before="240" w:after="64" w:line="320" w:lineRule="auto"/>
      <w:jc w:val="both"/>
      <w:outlineLvl w:val="5"/>
    </w:pPr>
    <w:rPr>
      <w:rFonts w:ascii="Arial" w:hAnsi="Arial" w:eastAsia="黑体" w:cs="Times New Roman"/>
      <w:b/>
      <w:bCs/>
      <w:kern w:val="2"/>
      <w:sz w:val="24"/>
      <w:szCs w:val="24"/>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8">
    <w:name w:val="table of authorities"/>
    <w:basedOn w:val="1"/>
    <w:next w:val="1"/>
    <w:autoRedefine/>
    <w:qFormat/>
    <w:uiPriority w:val="0"/>
    <w:pPr>
      <w:ind w:left="420" w:leftChars="200"/>
    </w:pPr>
  </w:style>
  <w:style w:type="paragraph" w:styleId="9">
    <w:name w:val="Normal Indent"/>
    <w:basedOn w:val="1"/>
    <w:next w:val="1"/>
    <w:qFormat/>
    <w:uiPriority w:val="0"/>
    <w:pPr>
      <w:ind w:firstLine="420"/>
    </w:pPr>
    <w:rPr>
      <w:sz w:val="24"/>
      <w:szCs w:val="20"/>
    </w:rPr>
  </w:style>
  <w:style w:type="paragraph" w:styleId="10">
    <w:name w:val="annotation text"/>
    <w:basedOn w:val="1"/>
    <w:link w:val="27"/>
    <w:qFormat/>
    <w:uiPriority w:val="0"/>
    <w:pPr>
      <w:adjustRightInd/>
      <w:snapToGrid/>
      <w:spacing w:after="0"/>
    </w:pPr>
    <w:rPr>
      <w:rFonts w:ascii="宋体" w:hAnsi="Times New Roman" w:eastAsia="宋体" w:cs="Times New Roman"/>
      <w:sz w:val="24"/>
      <w:szCs w:val="20"/>
    </w:rPr>
  </w:style>
  <w:style w:type="paragraph" w:styleId="11">
    <w:name w:val="Body Text Indent"/>
    <w:basedOn w:val="1"/>
    <w:link w:val="28"/>
    <w:autoRedefine/>
    <w:semiHidden/>
    <w:unhideWhenUsed/>
    <w:qFormat/>
    <w:uiPriority w:val="99"/>
    <w:pPr>
      <w:widowControl w:val="0"/>
      <w:adjustRightInd/>
      <w:snapToGrid/>
      <w:spacing w:after="120"/>
      <w:ind w:left="420" w:leftChars="200"/>
      <w:jc w:val="both"/>
    </w:pPr>
    <w:rPr>
      <w:rFonts w:ascii="Calibri" w:hAnsi="Calibri" w:eastAsia="等线" w:cs="Times New Roman"/>
      <w:kern w:val="2"/>
      <w:sz w:val="21"/>
      <w:szCs w:val="20"/>
    </w:rPr>
  </w:style>
  <w:style w:type="paragraph" w:styleId="12">
    <w:name w:val="Plain Text"/>
    <w:basedOn w:val="1"/>
    <w:next w:val="13"/>
    <w:autoRedefine/>
    <w:qFormat/>
    <w:uiPriority w:val="0"/>
    <w:rPr>
      <w:rFonts w:ascii="宋体" w:hAnsi="Courier New"/>
      <w:szCs w:val="20"/>
    </w:rPr>
  </w:style>
  <w:style w:type="paragraph" w:customStyle="1" w:styleId="13">
    <w:name w:val="Default"/>
    <w:basedOn w:val="14"/>
    <w:next w:val="1"/>
    <w:autoRedefine/>
    <w:semiHidden/>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customStyle="1" w:styleId="14">
    <w:name w:val="纯文本1"/>
    <w:basedOn w:val="1"/>
    <w:autoRedefine/>
    <w:qFormat/>
    <w:uiPriority w:val="0"/>
    <w:pPr>
      <w:adjustRightInd w:val="0"/>
      <w:spacing w:line="360" w:lineRule="atLeast"/>
      <w:textAlignment w:val="baseline"/>
    </w:pPr>
    <w:rPr>
      <w:rFonts w:ascii="宋体" w:hAnsi="Courier New" w:cs="Calibri"/>
      <w:szCs w:val="21"/>
    </w:rPr>
  </w:style>
  <w:style w:type="paragraph" w:styleId="15">
    <w:name w:val="toc 2"/>
    <w:basedOn w:val="1"/>
    <w:next w:val="1"/>
    <w:qFormat/>
    <w:uiPriority w:val="0"/>
    <w:pPr>
      <w:tabs>
        <w:tab w:val="right" w:leader="dot" w:pos="8302"/>
      </w:tabs>
      <w:spacing w:line="480" w:lineRule="auto"/>
      <w:ind w:left="420" w:leftChars="200"/>
    </w:pPr>
    <w:rPr>
      <w:b/>
      <w:bCs/>
    </w:rPr>
  </w:style>
  <w:style w:type="paragraph" w:styleId="16">
    <w:name w:val="Body Text First Indent"/>
    <w:basedOn w:val="2"/>
    <w:next w:val="17"/>
    <w:qFormat/>
    <w:uiPriority w:val="0"/>
    <w:pPr>
      <w:ind w:firstLine="420" w:firstLineChars="100"/>
    </w:pPr>
  </w:style>
  <w:style w:type="paragraph" w:styleId="17">
    <w:name w:val="Body Text First Indent 2"/>
    <w:basedOn w:val="11"/>
    <w:link w:val="29"/>
    <w:autoRedefine/>
    <w:unhideWhenUsed/>
    <w:qFormat/>
    <w:uiPriority w:val="0"/>
    <w:pPr>
      <w:tabs>
        <w:tab w:val="left" w:pos="540"/>
      </w:tabs>
      <w:ind w:firstLine="420" w:firstLineChars="200"/>
    </w:pPr>
  </w:style>
  <w:style w:type="paragraph" w:customStyle="1" w:styleId="20">
    <w:name w:val="xl27"/>
    <w:basedOn w:val="8"/>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21">
    <w:name w:val="样式 正文文本缩进 + 行距: 1.5 倍行距"/>
    <w:basedOn w:val="11"/>
    <w:autoRedefine/>
    <w:qFormat/>
    <w:uiPriority w:val="0"/>
    <w:pPr>
      <w:spacing w:after="120" w:line="360" w:lineRule="auto"/>
      <w:ind w:left="90" w:leftChars="32" w:firstLine="560" w:firstLineChars="200"/>
    </w:pPr>
    <w:rPr>
      <w:rFonts w:cs="宋体"/>
    </w:rPr>
  </w:style>
  <w:style w:type="character" w:customStyle="1" w:styleId="22">
    <w:name w:val="标题 3 字符"/>
    <w:basedOn w:val="19"/>
    <w:link w:val="5"/>
    <w:autoRedefine/>
    <w:qFormat/>
    <w:uiPriority w:val="9"/>
    <w:rPr>
      <w:b/>
      <w:bCs/>
      <w:color w:val="000000"/>
      <w:kern w:val="28"/>
      <w:sz w:val="32"/>
      <w:szCs w:val="32"/>
    </w:rPr>
  </w:style>
  <w:style w:type="character" w:customStyle="1" w:styleId="23">
    <w:name w:val="标题 1 字符"/>
    <w:basedOn w:val="19"/>
    <w:link w:val="3"/>
    <w:autoRedefine/>
    <w:qFormat/>
    <w:uiPriority w:val="0"/>
    <w:rPr>
      <w:b/>
      <w:bCs/>
      <w:color w:val="000000"/>
      <w:kern w:val="44"/>
      <w:sz w:val="44"/>
      <w:szCs w:val="44"/>
    </w:rPr>
  </w:style>
  <w:style w:type="character" w:customStyle="1" w:styleId="24">
    <w:name w:val="标题 2 字符"/>
    <w:link w:val="4"/>
    <w:autoRedefine/>
    <w:qFormat/>
    <w:uiPriority w:val="0"/>
    <w:rPr>
      <w:rFonts w:ascii="Arial" w:hAnsi="Arial" w:eastAsia="黑体"/>
      <w:b/>
      <w:bCs/>
      <w:color w:val="000000"/>
      <w:kern w:val="2"/>
      <w:sz w:val="32"/>
      <w:szCs w:val="32"/>
    </w:rPr>
  </w:style>
  <w:style w:type="character" w:customStyle="1" w:styleId="25">
    <w:name w:val="标题 4 字符"/>
    <w:link w:val="6"/>
    <w:autoRedefine/>
    <w:qFormat/>
    <w:uiPriority w:val="0"/>
    <w:rPr>
      <w:rFonts w:ascii="Arial" w:hAnsi="Arial" w:eastAsia="黑体"/>
      <w:b/>
      <w:bCs/>
      <w:color w:val="000000"/>
      <w:kern w:val="28"/>
      <w:sz w:val="28"/>
      <w:szCs w:val="28"/>
    </w:rPr>
  </w:style>
  <w:style w:type="character" w:customStyle="1" w:styleId="26">
    <w:name w:val="标题 6 字符"/>
    <w:basedOn w:val="19"/>
    <w:link w:val="7"/>
    <w:autoRedefine/>
    <w:qFormat/>
    <w:uiPriority w:val="0"/>
    <w:rPr>
      <w:rFonts w:ascii="Arial" w:hAnsi="Arial" w:eastAsia="黑体"/>
      <w:b/>
      <w:bCs/>
      <w:kern w:val="2"/>
      <w:sz w:val="24"/>
      <w:szCs w:val="24"/>
    </w:rPr>
  </w:style>
  <w:style w:type="character" w:customStyle="1" w:styleId="27">
    <w:name w:val="批注文字 字符"/>
    <w:link w:val="10"/>
    <w:autoRedefine/>
    <w:qFormat/>
    <w:uiPriority w:val="0"/>
    <w:rPr>
      <w:rFonts w:ascii="宋体" w:hAnsi="Times New Roman" w:eastAsia="宋体"/>
      <w:sz w:val="24"/>
    </w:rPr>
  </w:style>
  <w:style w:type="character" w:customStyle="1" w:styleId="28">
    <w:name w:val="正文文本缩进 字符"/>
    <w:basedOn w:val="19"/>
    <w:link w:val="11"/>
    <w:autoRedefine/>
    <w:semiHidden/>
    <w:qFormat/>
    <w:uiPriority w:val="99"/>
    <w:rPr>
      <w:kern w:val="2"/>
      <w:sz w:val="21"/>
    </w:rPr>
  </w:style>
  <w:style w:type="character" w:customStyle="1" w:styleId="29">
    <w:name w:val="正文文本首行缩进 2 字符"/>
    <w:basedOn w:val="28"/>
    <w:link w:val="17"/>
    <w:autoRedefine/>
    <w:qFormat/>
    <w:uiPriority w:val="0"/>
    <w:rPr>
      <w:kern w:val="2"/>
      <w:sz w:val="21"/>
    </w:rPr>
  </w:style>
  <w:style w:type="paragraph" w:customStyle="1" w:styleId="30">
    <w:name w:val="表 图 内容"/>
    <w:basedOn w:val="1"/>
    <w:qFormat/>
    <w:uiPriority w:val="0"/>
    <w:pPr>
      <w:jc w:val="center"/>
    </w:pPr>
    <w:rPr>
      <w:rFonts w:eastAsia="宋体"/>
      <w:sz w:val="21"/>
      <w:szCs w:val="21"/>
    </w:rPr>
  </w:style>
  <w:style w:type="paragraph" w:customStyle="1" w:styleId="31">
    <w:name w:val="正文首行缩进2个字"/>
    <w:basedOn w:val="1"/>
    <w:autoRedefine/>
    <w:qFormat/>
    <w:uiPriority w:val="0"/>
    <w:pPr>
      <w:spacing w:line="540" w:lineRule="exact"/>
      <w:ind w:firstLine="200" w:firstLineChars="200"/>
    </w:pPr>
    <w:rPr>
      <w:sz w:val="24"/>
    </w:rPr>
  </w:style>
  <w:style w:type="paragraph" w:customStyle="1" w:styleId="32">
    <w:name w:val="普通(网站)1"/>
    <w:basedOn w:val="1"/>
    <w:autoRedefine/>
    <w:qFormat/>
    <w:uiPriority w:val="0"/>
    <w:pPr>
      <w:widowControl w:val="0"/>
      <w:adjustRightInd/>
      <w:snapToGrid/>
      <w:spacing w:before="100" w:beforeAutospacing="1" w:after="100" w:afterAutospacing="1"/>
      <w:jc w:val="both"/>
    </w:pPr>
    <w:rPr>
      <w:rFonts w:ascii="宋体" w:hAnsi="宋体" w:eastAsia="宋体" w:cs="宋体"/>
      <w:kern w:val="2"/>
      <w:sz w:val="24"/>
      <w:szCs w:val="24"/>
    </w:rPr>
  </w:style>
  <w:style w:type="paragraph" w:customStyle="1" w:styleId="33">
    <w:name w:val="表格内容-WJG"/>
    <w:basedOn w:val="34"/>
    <w:autoRedefine/>
    <w:qFormat/>
    <w:uiPriority w:val="0"/>
    <w:pPr>
      <w:tabs>
        <w:tab w:val="left" w:pos="1021"/>
      </w:tabs>
      <w:snapToGrid/>
      <w:spacing w:before="0" w:beforeLines="0" w:after="0" w:afterLines="0"/>
    </w:pPr>
    <w:rPr>
      <w:sz w:val="21"/>
    </w:rPr>
  </w:style>
  <w:style w:type="paragraph" w:customStyle="1" w:styleId="34">
    <w:name w:val="表文"/>
    <w:basedOn w:val="1"/>
    <w:autoRedefine/>
    <w:qFormat/>
    <w:uiPriority w:val="0"/>
    <w:pPr>
      <w:tabs>
        <w:tab w:val="left" w:pos="1021"/>
      </w:tabs>
      <w:adjustRightInd w:val="0"/>
      <w:snapToGrid w:val="0"/>
      <w:spacing w:before="93" w:beforeLines="30" w:after="93" w:afterLines="30"/>
      <w:jc w:val="center"/>
    </w:pPr>
    <w:rPr>
      <w:snapToGrid w:val="0"/>
      <w:kern w:val="28"/>
      <w:position w:val="-24"/>
      <w:sz w:val="21"/>
      <w:szCs w:val="21"/>
    </w:rPr>
  </w:style>
  <w:style w:type="paragraph" w:customStyle="1" w:styleId="35">
    <w:name w:val="Table Text"/>
    <w:basedOn w:val="1"/>
    <w:autoRedefine/>
    <w:semiHidden/>
    <w:qFormat/>
    <w:uiPriority w:val="0"/>
    <w:rPr>
      <w:rFonts w:ascii="宋体" w:hAnsi="宋体" w:eastAsia="宋体" w:cs="宋体"/>
      <w:sz w:val="20"/>
      <w:szCs w:val="20"/>
      <w:lang w:val="en-US" w:eastAsia="en-US" w:bidi="ar-SA"/>
    </w:rPr>
  </w:style>
  <w:style w:type="table" w:customStyle="1" w:styleId="36">
    <w:name w:val="Table Normal"/>
    <w:autoRedefine/>
    <w:unhideWhenUsed/>
    <w:qFormat/>
    <w:uiPriority w:val="0"/>
    <w:tblPr>
      <w:tblCellMar>
        <w:top w:w="0" w:type="dxa"/>
        <w:left w:w="0" w:type="dxa"/>
        <w:bottom w:w="0" w:type="dxa"/>
        <w:right w:w="0" w:type="dxa"/>
      </w:tblCellMar>
    </w:tblPr>
  </w:style>
  <w:style w:type="paragraph" w:customStyle="1" w:styleId="37">
    <w:name w:val="正文（源通）"/>
    <w:basedOn w:val="1"/>
    <w:autoRedefine/>
    <w:qFormat/>
    <w:uiPriority w:val="0"/>
    <w:pPr>
      <w:spacing w:line="500" w:lineRule="exact"/>
      <w:ind w:firstLine="480" w:firstLineChars="200"/>
      <w:jc w:val="left"/>
    </w:pPr>
    <w:rPr>
      <w:rFonts w:ascii="Times New Roman" w:hAnsi="Times New Roman" w:eastAsia="Times New Roman" w:cs="Times New Roman"/>
      <w:color w:val="FF0000"/>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2798</Words>
  <Characters>2989</Characters>
  <Lines>20</Lines>
  <Paragraphs>5</Paragraphs>
  <TotalTime>3</TotalTime>
  <ScaleCrop>false</ScaleCrop>
  <LinksUpToDate>false</LinksUpToDate>
  <CharactersWithSpaces>3005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2023-09-25T06:00:00Z</dcterms:created>
  <dc:creator>xw</dc:creator>
  <cp:lastModifiedBy>简乐</cp:lastModifiedBy>
  <dcterms:modified xsi:type="dcterms:W3CDTF">2026-05-20T00:46:16Z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97A97022458C440F9A9C6CB4E3CE6973_12</vt:lpwstr>
  </property>
  <property fmtid="{D5CDD505-2E9C-101B-9397-08002B2CF9AE}" pid="4" name="KSOTemplateDocerSaveRecord">
    <vt:lpwstr>eyJoZGlkIjoiN2FhOGMxMjNkNDcyMGY2MjlkYTcyNTk3Mjk4YmM5NzAiLCJ1c2VySWQiOiIyOTkxNzg1NjUifQ==</vt:lpwstr>
  </property>
</Properties>
</file>